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r>
    </w:p>
    <w:tbl>
      <w:tblPr>
        <w:jc w:val="left"/>
        <w:tblInd w:type="dxa" w:w="-223"/>
        <w:tblBorders>
          <w:top w:color="000001" w:space="0" w:sz="6" w:val="single"/>
          <w:left w:color="000001" w:space="0" w:sz="6" w:val="single"/>
          <w:bottom w:color="000001" w:space="0" w:sz="6" w:val="single"/>
          <w:right w:color="000001" w:space="0" w:sz="6" w:val="single"/>
        </w:tblBorders>
      </w:tblPr>
      <w:tblGrid>
        <w:gridCol w:w="9210"/>
      </w:tblGrid>
      <w:tr>
        <w:trPr>
          <w:trHeight w:hRule="atLeast" w:val="15"/>
          <w:cantSplit w:val="false"/>
        </w:trPr>
        <w:tc>
          <w:tcPr>
            <w:tcW w:type="dxa" w:w="9210"/>
            <w:tcBorders>
              <w:top w:color="000001" w:space="0" w:sz="6" w:val="single"/>
              <w:left w:color="000001" w:space="0" w:sz="6" w:val="single"/>
              <w:bottom w:color="000001" w:space="0" w:sz="6" w:val="single"/>
              <w:right w:color="000001" w:space="0" w:sz="6" w:val="single"/>
            </w:tcBorders>
            <w:shd w:fill="FFFFFF" w:val="clear"/>
            <w:tcMar>
              <w:top w:type="dxa" w:w="0"/>
              <w:left w:type="dxa" w:w="108"/>
              <w:bottom w:type="dxa" w:w="0"/>
              <w:right w:type="dxa" w:w="108"/>
            </w:tcMar>
          </w:tcPr>
          <w:p>
            <w:pPr>
              <w:pStyle w:val="style0"/>
              <w:spacing w:after="0" w:before="28" w:line="100" w:lineRule="atLeast"/>
              <w:ind w:hanging="0" w:left="0" w:right="-6"/>
              <w:contextualSpacing w:val="false"/>
              <w:jc w:val="center"/>
            </w:pPr>
            <w:bookmarkStart w:id="0" w:name="_GoBack"/>
            <w:bookmarkEnd w:id="0"/>
            <w:r>
              <w:rPr>
                <w:rFonts w:ascii="Times New Roman" w:cs="Times New Roman" w:eastAsia="Times New Roman" w:hAnsi="Times New Roman"/>
                <w:b/>
                <w:bCs/>
                <w:color w:val="000000"/>
                <w:sz w:val="24"/>
                <w:szCs w:val="24"/>
                <w:lang w:eastAsia="pt-BR"/>
              </w:rPr>
              <w:t>Ata de Coordenação – 300ª Sessão Ordinária</w:t>
            </w:r>
            <w:r>
              <w:rPr>
                <w:rFonts w:ascii="Times New Roman" w:cs="Times New Roman" w:eastAsia="Times New Roman" w:hAnsi="Times New Roman"/>
                <w:bCs/>
                <w:color w:val="000000"/>
                <w:sz w:val="24"/>
                <w:szCs w:val="24"/>
                <w:lang w:eastAsia="pt-BR"/>
              </w:rPr>
              <w:t>:</w:t>
            </w:r>
          </w:p>
          <w:p>
            <w:pPr>
              <w:pStyle w:val="style0"/>
              <w:spacing w:after="0" w:before="28" w:line="100" w:lineRule="atLeast"/>
              <w:ind w:hanging="0" w:left="0" w:right="-6"/>
              <w:contextualSpacing w:val="false"/>
              <w:jc w:val="center"/>
            </w:pPr>
            <w:r>
              <w:rPr/>
            </w:r>
          </w:p>
          <w:p>
            <w:pPr>
              <w:pStyle w:val="style0"/>
              <w:spacing w:after="0" w:before="28" w:line="100" w:lineRule="atLeast"/>
              <w:ind w:hanging="0" w:left="0" w:right="-6"/>
              <w:contextualSpacing w:val="false"/>
              <w:jc w:val="center"/>
            </w:pPr>
            <w:r>
              <w:rPr>
                <w:rFonts w:ascii="Times New Roman" w:cs="Times New Roman" w:eastAsia="Times New Roman" w:hAnsi="Times New Roman"/>
                <w:bCs/>
                <w:color w:val="000000"/>
                <w:sz w:val="24"/>
                <w:szCs w:val="24"/>
                <w:lang w:eastAsia="pt-BR"/>
              </w:rPr>
              <w:t xml:space="preserve"> </w:t>
            </w:r>
          </w:p>
          <w:p>
            <w:pPr>
              <w:pStyle w:val="style0"/>
              <w:spacing w:after="0" w:before="28" w:line="100" w:lineRule="atLeast"/>
              <w:ind w:hanging="0" w:left="0" w:right="-6"/>
              <w:contextualSpacing w:val="false"/>
            </w:pPr>
            <w:r>
              <w:rPr>
                <w:rFonts w:ascii="Times New Roman" w:cs="Times New Roman" w:eastAsia="Times New Roman" w:hAnsi="Times New Roman"/>
                <w:bCs/>
                <w:color w:val="000000"/>
                <w:sz w:val="24"/>
                <w:szCs w:val="24"/>
                <w:lang w:eastAsia="pt-BR"/>
              </w:rPr>
              <w:t>Reuniram-se os membros do colegiado, as 10h do dia 04/12/2017, na  sala de reunião da 1ª CCR, onde foram tratados os assuntos seguintes, concernentes à Assessoria de Coordenação:</w:t>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Fonts w:ascii="Times New Roman" w:cs="Times New Roman" w:eastAsia="Times New Roman" w:hAnsi="Times New Roman"/>
                <w:iCs/>
                <w:color w:val="000000"/>
                <w:sz w:val="24"/>
                <w:szCs w:val="24"/>
                <w:u w:val="none"/>
                <w:lang w:eastAsia="pt-BR"/>
              </w:rPr>
              <w:t>1) Decisão monocrática ad referendum do Colegiado para homologação de arquivamento em matéria que envolva direito individual:</w:t>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Fonts w:ascii="Times New Roman" w:cs="Times New Roman" w:eastAsia="Times New Roman" w:hAnsi="Times New Roman"/>
                <w:b/>
                <w:bCs/>
                <w:iCs/>
                <w:color w:val="000000"/>
                <w:sz w:val="24"/>
                <w:szCs w:val="24"/>
                <w:u w:val="none"/>
                <w:lang w:eastAsia="pt-BR"/>
              </w:rPr>
              <w:t>Deliberação:</w:t>
            </w:r>
            <w:r>
              <w:rPr>
                <w:rFonts w:ascii="Times New Roman" w:cs="Times New Roman" w:eastAsia="Times New Roman" w:hAnsi="Times New Roman"/>
                <w:b w:val="false"/>
                <w:bCs w:val="false"/>
                <w:iCs/>
                <w:color w:val="000000"/>
                <w:sz w:val="24"/>
                <w:szCs w:val="24"/>
                <w:u w:val="none"/>
                <w:lang w:eastAsia="pt-BR"/>
              </w:rPr>
              <w:t xml:space="preserve"> acatado à unanimidade</w:t>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Fonts w:ascii="Times New Roman" w:cs="Times New Roman" w:eastAsia="Times New Roman" w:hAnsi="Times New Roman"/>
                <w:iCs/>
                <w:color w:val="000000"/>
                <w:sz w:val="24"/>
                <w:szCs w:val="24"/>
                <w:lang w:eastAsia="pt-BR"/>
              </w:rPr>
              <w:t>2) Apresentação do Plano de Ação da Câmara</w:t>
            </w:r>
          </w:p>
          <w:p>
            <w:pPr>
              <w:pStyle w:val="style0"/>
              <w:spacing w:after="0" w:before="28" w:line="100" w:lineRule="atLeast"/>
              <w:ind w:hanging="0" w:left="0" w:right="-6"/>
              <w:contextualSpacing w:val="false"/>
              <w:jc w:val="both"/>
            </w:pPr>
            <w:r>
              <w:rPr/>
            </w:r>
          </w:p>
          <w:p>
            <w:pPr>
              <w:pStyle w:val="style0"/>
            </w:pPr>
            <w:r>
              <w:rPr>
                <w:rFonts w:ascii="Times New Roman" w:cs="Times New Roman" w:eastAsia="Times New Roman" w:hAnsi="Times New Roman"/>
                <w:b/>
                <w:bCs/>
                <w:iCs/>
                <w:color w:val="000000"/>
                <w:sz w:val="24"/>
                <w:szCs w:val="24"/>
                <w:lang w:eastAsia="pt-BR"/>
              </w:rPr>
              <w:t>Deliberação:</w:t>
            </w:r>
          </w:p>
          <w:p>
            <w:pPr>
              <w:pStyle w:val="style0"/>
            </w:pPr>
            <w:r>
              <w:rPr>
                <w:rFonts w:ascii="Times New Roman" w:cs="Times New Roman" w:eastAsia="Times New Roman" w:hAnsi="Times New Roman"/>
                <w:bCs/>
                <w:iCs/>
                <w:color w:val="000000"/>
                <w:sz w:val="24"/>
                <w:szCs w:val="24"/>
                <w:lang w:eastAsia="pt-BR"/>
              </w:rPr>
              <w:t>Ao final da reunião, foi aprovado o Plano de Ação da 1ª CCR.</w:t>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3</w:t>
            </w:r>
            <w:r>
              <w:rPr>
                <w:rFonts w:ascii="Times New Roman" w:cs="Times New Roman" w:eastAsia="Times New Roman" w:hAnsi="Times New Roman"/>
                <w:bCs/>
                <w:iCs/>
                <w:color w:val="000000"/>
                <w:sz w:val="24"/>
                <w:szCs w:val="24"/>
                <w:lang w:eastAsia="pt-BR"/>
              </w:rPr>
              <w:t>) Apresentação de propostas de Cursos para o Plano Estratégico de Capacitação –PEC da CCR em 2018:</w:t>
            </w:r>
          </w:p>
          <w:p>
            <w:pPr>
              <w:pStyle w:val="style0"/>
              <w:spacing w:after="0" w:before="28" w:line="100" w:lineRule="atLeast"/>
              <w:ind w:hanging="0" w:left="0" w:right="-6"/>
              <w:contextualSpacing w:val="false"/>
              <w:jc w:val="both"/>
            </w:pPr>
            <w:r>
              <w:rPr/>
            </w:r>
          </w:p>
          <w:p>
            <w:pPr>
              <w:pStyle w:val="style0"/>
              <w:numPr>
                <w:ilvl w:val="0"/>
                <w:numId w:val="1"/>
              </w:numPr>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Operacionalização dos sistemas de informações do FNDE</w:t>
            </w:r>
          </w:p>
          <w:p>
            <w:pPr>
              <w:pStyle w:val="style0"/>
              <w:numPr>
                <w:ilvl w:val="0"/>
                <w:numId w:val="1"/>
              </w:numPr>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Laboratório Orçamentário Nacional – MP Brasileiro</w:t>
            </w:r>
          </w:p>
          <w:p>
            <w:pPr>
              <w:pStyle w:val="style0"/>
              <w:numPr>
                <w:ilvl w:val="0"/>
                <w:numId w:val="1"/>
              </w:numPr>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Pactuações no âmbito do SUS e Estrutura das Comissões</w:t>
            </w:r>
          </w:p>
          <w:p>
            <w:pPr>
              <w:pStyle w:val="style0"/>
              <w:numPr>
                <w:ilvl w:val="0"/>
                <w:numId w:val="1"/>
              </w:numPr>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Financiamento em Saúde</w:t>
            </w:r>
          </w:p>
          <w:p>
            <w:pPr>
              <w:pStyle w:val="style0"/>
              <w:numPr>
                <w:ilvl w:val="0"/>
                <w:numId w:val="1"/>
              </w:numPr>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 xml:space="preserve">SINTER </w:t>
            </w:r>
          </w:p>
          <w:p>
            <w:pPr>
              <w:pStyle w:val="style0"/>
              <w:numPr>
                <w:ilvl w:val="0"/>
                <w:numId w:val="1"/>
              </w:numPr>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Orçamento público: metas, gastos e direitos</w:t>
            </w:r>
          </w:p>
          <w:p>
            <w:pPr>
              <w:pStyle w:val="style0"/>
              <w:numPr>
                <w:ilvl w:val="0"/>
                <w:numId w:val="1"/>
              </w:numPr>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4ª Jornada da Dívida Pública</w:t>
            </w:r>
          </w:p>
          <w:p>
            <w:pPr>
              <w:pStyle w:val="style0"/>
              <w:numPr>
                <w:ilvl w:val="0"/>
                <w:numId w:val="1"/>
              </w:numPr>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Modal Ferroviário Federal: diagnóstico e perspectivas</w:t>
            </w:r>
          </w:p>
          <w:p>
            <w:pPr>
              <w:pStyle w:val="style0"/>
              <w:numPr>
                <w:ilvl w:val="0"/>
                <w:numId w:val="1"/>
              </w:numPr>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Modal Rodoviário Federal: problemas e soluções</w:t>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Fonts w:ascii="Times New Roman" w:cs="Times New Roman" w:eastAsia="Times New Roman" w:hAnsi="Times New Roman"/>
                <w:b/>
                <w:bCs/>
                <w:iCs/>
                <w:color w:val="000000"/>
                <w:sz w:val="24"/>
                <w:szCs w:val="24"/>
                <w:lang w:eastAsia="pt-BR"/>
              </w:rPr>
              <w:t xml:space="preserve">Deliberação: </w:t>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Dra. Maria Iraneide priorizou os 4 primeiros cursos listados, que tratam de educação e saúde.</w:t>
            </w:r>
          </w:p>
          <w:p>
            <w:pPr>
              <w:pStyle w:val="style0"/>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Foram indicados os sete primeiros cursos listados na prioridade apresentada.</w:t>
            </w:r>
          </w:p>
          <w:p>
            <w:pPr>
              <w:pStyle w:val="style0"/>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Decidiu que as verbas de Saúde e Educação são maiores, e que por isso devem ser prioridade.</w:t>
            </w:r>
          </w:p>
          <w:p>
            <w:pPr>
              <w:pStyle w:val="style0"/>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Dra.  Sônia elogiou a realização da 3ª Jornada e pediu para deixar registrado em ata que as pessoas da organização fizeram um excelente trabalho.</w:t>
            </w:r>
          </w:p>
          <w:p>
            <w:pPr>
              <w:pStyle w:val="style0"/>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Roberta explicou que a 4ª Jornada da Dívida Pública será uma oficina, e não um curso.</w:t>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4</w:t>
            </w:r>
            <w:r>
              <w:rPr>
                <w:rFonts w:ascii="Times New Roman" w:cs="Times New Roman" w:eastAsia="Times New Roman" w:hAnsi="Times New Roman"/>
                <w:bCs/>
                <w:iCs/>
                <w:color w:val="000000"/>
                <w:sz w:val="24"/>
                <w:szCs w:val="24"/>
                <w:lang w:eastAsia="pt-BR"/>
              </w:rPr>
              <w:t>) Sugestões de projetos finalísticos para 2018:</w:t>
            </w:r>
          </w:p>
          <w:p>
            <w:pPr>
              <w:pStyle w:val="style0"/>
              <w:spacing w:after="0" w:before="28" w:line="100" w:lineRule="atLeast"/>
              <w:ind w:hanging="0" w:left="0" w:right="-6"/>
              <w:contextualSpacing w:val="false"/>
              <w:jc w:val="both"/>
            </w:pPr>
            <w:r>
              <w:rPr/>
            </w:r>
          </w:p>
          <w:p>
            <w:pPr>
              <w:pStyle w:val="style0"/>
              <w:numPr>
                <w:ilvl w:val="0"/>
                <w:numId w:val="2"/>
              </w:numPr>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Cidadão em Ação</w:t>
            </w:r>
          </w:p>
          <w:p>
            <w:pPr>
              <w:pStyle w:val="style0"/>
              <w:numPr>
                <w:ilvl w:val="0"/>
                <w:numId w:val="2"/>
              </w:numPr>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Diagnóstico da conformidade das renúncias fiscais do CEBAS-SAÚDE</w:t>
            </w:r>
          </w:p>
          <w:p>
            <w:pPr>
              <w:pStyle w:val="style0"/>
              <w:numPr>
                <w:ilvl w:val="0"/>
                <w:numId w:val="2"/>
              </w:numPr>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Educação 1 – Sistemática de Monitoramento da Atuação do MPF no Controle do Financiamento da Educação</w:t>
            </w:r>
          </w:p>
          <w:p>
            <w:pPr>
              <w:pStyle w:val="style0"/>
              <w:numPr>
                <w:ilvl w:val="0"/>
                <w:numId w:val="2"/>
              </w:numPr>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Educação 2 – Sistemática dos Beneficiários dos Recursos Federais Relacionados aos Programas do FNDE</w:t>
            </w:r>
          </w:p>
          <w:p>
            <w:pPr>
              <w:pStyle w:val="style0"/>
              <w:numPr>
                <w:ilvl w:val="0"/>
                <w:numId w:val="2"/>
              </w:numPr>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SINTER</w:t>
            </w:r>
          </w:p>
          <w:p>
            <w:pPr>
              <w:pStyle w:val="style0"/>
              <w:numPr>
                <w:ilvl w:val="0"/>
                <w:numId w:val="2"/>
              </w:numPr>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Inventariança da RFFSA</w:t>
            </w:r>
          </w:p>
          <w:p>
            <w:pPr>
              <w:pStyle w:val="style0"/>
              <w:numPr>
                <w:ilvl w:val="0"/>
                <w:numId w:val="2"/>
              </w:numPr>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Sistema de Painel de Controle – parte 2</w:t>
            </w:r>
          </w:p>
          <w:p>
            <w:pPr>
              <w:pStyle w:val="style0"/>
              <w:numPr>
                <w:ilvl w:val="0"/>
                <w:numId w:val="2"/>
              </w:numPr>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Reorganização temática da 1ª CCR</w:t>
            </w:r>
          </w:p>
          <w:p>
            <w:pPr>
              <w:pStyle w:val="style0"/>
              <w:spacing w:after="0" w:before="28" w:line="100" w:lineRule="atLeast"/>
              <w:ind w:hanging="0" w:left="720" w:right="-6"/>
              <w:contextualSpacing w:val="false"/>
              <w:jc w:val="both"/>
            </w:pPr>
            <w:r>
              <w:rPr/>
            </w:r>
          </w:p>
          <w:p>
            <w:pPr>
              <w:pStyle w:val="style0"/>
              <w:spacing w:after="0" w:before="28" w:line="100" w:lineRule="atLeast"/>
              <w:ind w:hanging="0" w:left="0" w:right="-6"/>
              <w:contextualSpacing w:val="false"/>
              <w:jc w:val="both"/>
            </w:pPr>
            <w:r>
              <w:rPr>
                <w:rFonts w:ascii="Times New Roman" w:cs="Times New Roman" w:eastAsia="Times New Roman" w:hAnsi="Times New Roman"/>
                <w:b/>
                <w:bCs/>
                <w:iCs/>
                <w:color w:val="000000"/>
                <w:sz w:val="24"/>
                <w:szCs w:val="24"/>
                <w:lang w:eastAsia="pt-BR"/>
              </w:rPr>
              <w:t>Deliberação:</w:t>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Dra. Maria Iraneide  disse que o projeto Cidadão em Ação será iniciado na Paraíba.</w:t>
            </w:r>
          </w:p>
          <w:p>
            <w:pPr>
              <w:pStyle w:val="style0"/>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A Assessora - Chefe explicou a gratificação de projetos e a importância dos projetos para os Grupos de Trabalho.</w:t>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A Coordenadora perguntou sobre a inventariança da RFFSA e o Secretário Executivo deu as explicações sobre as diretrizes do GT RFFSA. Explicou que Dr. Vitorelli elegeu 8 itens de recuperação de ativos, que são de grande interesse do Tesouro. Que quer concentrar esforços nos casos que causam dano ao patrimônio público. Dr. Vitorelli que há mais de 10 bilhões de reais que não estão sendo convenientemente administrado pela inventariança porque não tem recursos.</w:t>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 xml:space="preserve">Dra. Maria Iraneide  indagou sobre a reorganização temática da 1ª CCR. Dadas as explicações, decidiu excluir o item porque será abarcado pelo mutirão da revisão da 1ª CCR. Secretário Executivo explicou que a distribuição já está quase toda zerada. </w:t>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O Secretário Executivo falou sobre o Sistema de Painel de Controle – parte 2, que está sendo desenvolvido na 1ª CCR. Falou que esta entrega da Câmara ajudará os Procuradores de primeira instância, visto que têm grande dificuldade na promoção de arquivamento para a 1ª CCR, já que são muitos os temas e assuntos do sistema Único. Da mesma forma que o sistema está servindo para acelerar os votos na 1ª CCR, facilitará o trabalho dos Procuradores na ponta. A ideia pode, inclusive, ser estendida às outras Câmaras.</w:t>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5</w:t>
            </w:r>
            <w:r>
              <w:rPr>
                <w:rFonts w:ascii="Times New Roman" w:cs="Times New Roman" w:eastAsia="Times New Roman" w:hAnsi="Times New Roman"/>
                <w:bCs/>
                <w:iCs/>
                <w:color w:val="000000"/>
                <w:sz w:val="24"/>
                <w:szCs w:val="24"/>
                <w:lang w:eastAsia="pt-BR"/>
              </w:rPr>
              <w:t>) Foram feitos os seguintes comunicados:</w:t>
            </w:r>
          </w:p>
          <w:p>
            <w:pPr>
              <w:pStyle w:val="style0"/>
              <w:spacing w:after="0" w:before="28" w:line="100" w:lineRule="atLeast"/>
              <w:ind w:hanging="0" w:left="0" w:right="-6"/>
              <w:contextualSpacing w:val="false"/>
              <w:jc w:val="both"/>
            </w:pPr>
            <w:r>
              <w:rPr/>
            </w:r>
          </w:p>
          <w:p>
            <w:pPr>
              <w:pStyle w:val="style0"/>
              <w:numPr>
                <w:ilvl w:val="0"/>
                <w:numId w:val="3"/>
              </w:numPr>
              <w:spacing w:after="0" w:before="28" w:line="100" w:lineRule="atLeast"/>
              <w:ind w:hanging="0" w:left="0" w:right="-6"/>
              <w:contextualSpacing w:val="false"/>
              <w:jc w:val="both"/>
            </w:pPr>
            <w:r>
              <w:rPr>
                <w:rFonts w:ascii="Times New Roman" w:cs="Times New Roman" w:eastAsia="Times New Roman" w:hAnsi="Times New Roman"/>
                <w:b/>
                <w:bCs/>
                <w:iCs/>
                <w:color w:val="000000"/>
                <w:sz w:val="24"/>
                <w:szCs w:val="24"/>
                <w:lang w:eastAsia="pt-BR"/>
              </w:rPr>
              <w:t>Participação da Câmara na reunião do Subcomitê de Comunicação do MPF</w:t>
            </w:r>
          </w:p>
          <w:p>
            <w:pPr>
              <w:pStyle w:val="style0"/>
              <w:spacing w:after="0" w:before="28" w:line="100" w:lineRule="atLeast"/>
              <w:ind w:hanging="0" w:left="720" w:right="-6"/>
              <w:contextualSpacing w:val="false"/>
              <w:jc w:val="both"/>
            </w:pPr>
            <w:r>
              <w:rPr>
                <w:rFonts w:ascii="Times New Roman" w:cs="Times New Roman" w:eastAsia="Times New Roman" w:hAnsi="Times New Roman"/>
                <w:bCs/>
                <w:iCs/>
                <w:color w:val="000000"/>
                <w:sz w:val="24"/>
                <w:szCs w:val="24"/>
                <w:lang w:eastAsia="pt-BR"/>
              </w:rPr>
              <w:t>Dra. Maria Iraneide afirmou que a 1ª CCR será representada pela servidora Roberta Pontes, nessa reunião.</w:t>
            </w:r>
          </w:p>
          <w:p>
            <w:pPr>
              <w:pStyle w:val="style0"/>
              <w:numPr>
                <w:ilvl w:val="0"/>
                <w:numId w:val="3"/>
              </w:numPr>
              <w:spacing w:after="0" w:before="28" w:line="100" w:lineRule="atLeast"/>
              <w:ind w:hanging="0" w:left="0" w:right="-6"/>
              <w:contextualSpacing w:val="false"/>
              <w:jc w:val="both"/>
            </w:pPr>
            <w:r>
              <w:rPr>
                <w:rFonts w:ascii="Times New Roman" w:cs="Times New Roman" w:eastAsia="Times New Roman" w:hAnsi="Times New Roman"/>
                <w:b/>
                <w:bCs/>
                <w:iCs/>
                <w:color w:val="000000"/>
                <w:sz w:val="24"/>
                <w:szCs w:val="24"/>
                <w:lang w:eastAsia="pt-BR"/>
              </w:rPr>
              <w:t>Realização de correição nos dias 4 e 12 de dezembro de 2017,  no Memorial.</w:t>
            </w:r>
          </w:p>
          <w:p>
            <w:pPr>
              <w:pStyle w:val="style0"/>
              <w:spacing w:after="0" w:before="28" w:line="100" w:lineRule="atLeast"/>
              <w:ind w:hanging="0" w:left="720" w:right="-6"/>
              <w:contextualSpacing w:val="false"/>
              <w:jc w:val="both"/>
            </w:pPr>
            <w:r>
              <w:rPr>
                <w:rFonts w:ascii="Times New Roman" w:cs="Times New Roman" w:eastAsia="Times New Roman" w:hAnsi="Times New Roman"/>
                <w:bCs/>
                <w:iCs/>
                <w:color w:val="000000"/>
                <w:sz w:val="24"/>
                <w:szCs w:val="24"/>
                <w:lang w:eastAsia="pt-BR"/>
              </w:rPr>
              <w:t xml:space="preserve">Secretário Executivo informou que a data foi alterada para o dia 06/12. Informou também que o dr. Oswaldo quer falar com todos os coordenadores de Câmaras, sobre melhorias e aperfeiçoamentos; com os procuradores, sobre os procedimentos da Câmara, como número de procedimentos que entram e saem da CCR, por exemplo. </w:t>
            </w:r>
          </w:p>
          <w:p>
            <w:pPr>
              <w:pStyle w:val="style0"/>
              <w:spacing w:after="0" w:before="28" w:line="100" w:lineRule="atLeast"/>
              <w:ind w:hanging="0" w:left="720" w:right="-6"/>
              <w:contextualSpacing w:val="false"/>
              <w:jc w:val="both"/>
            </w:pPr>
            <w:r>
              <w:rPr>
                <w:rFonts w:ascii="Times New Roman" w:cs="Times New Roman" w:eastAsia="Times New Roman" w:hAnsi="Times New Roman"/>
                <w:bCs/>
                <w:iCs/>
                <w:color w:val="000000"/>
                <w:sz w:val="24"/>
                <w:szCs w:val="24"/>
                <w:lang w:eastAsia="pt-BR"/>
              </w:rPr>
              <w:t>Dra. Maria Iraneide pediu os três ofícios elaborados pela Câmara, que estão na Secretaria-Geral, para que sejam por ela encaminhados à Procuradora-Geral.</w:t>
            </w:r>
          </w:p>
          <w:p>
            <w:pPr>
              <w:pStyle w:val="style0"/>
              <w:numPr>
                <w:ilvl w:val="0"/>
                <w:numId w:val="3"/>
              </w:numPr>
              <w:spacing w:after="0" w:before="28" w:line="100" w:lineRule="atLeast"/>
              <w:ind w:hanging="0" w:left="0" w:right="-6"/>
              <w:contextualSpacing w:val="false"/>
              <w:jc w:val="both"/>
            </w:pPr>
            <w:r>
              <w:rPr>
                <w:rFonts w:ascii="Times New Roman" w:cs="Times New Roman" w:eastAsia="Times New Roman" w:hAnsi="Times New Roman"/>
                <w:b/>
                <w:bCs/>
                <w:iCs/>
                <w:color w:val="000000"/>
                <w:sz w:val="24"/>
                <w:szCs w:val="24"/>
                <w:lang w:eastAsia="pt-BR"/>
              </w:rPr>
              <w:t>Projeto 30 anos MPF Cidadão – 1ª CCR participará do Dia Mundial da Justiça Social:</w:t>
            </w:r>
            <w:r>
              <w:rPr>
                <w:rFonts w:ascii="Times New Roman" w:cs="Times New Roman" w:eastAsia="Times New Roman" w:hAnsi="Times New Roman"/>
                <w:bCs/>
                <w:iCs/>
                <w:color w:val="000000"/>
                <w:sz w:val="24"/>
                <w:szCs w:val="24"/>
                <w:lang w:eastAsia="pt-BR"/>
              </w:rPr>
              <w:t xml:space="preserve"> será enviado um ofício circular aos membros representantes de ofício da 1ª CCR. Foi solicitado aos membros do Colegiado que façam sugestões para a participação da 1ª CCCR.</w:t>
            </w:r>
          </w:p>
          <w:p>
            <w:pPr>
              <w:pStyle w:val="style0"/>
              <w:spacing w:after="0" w:before="28" w:line="100" w:lineRule="atLeast"/>
              <w:ind w:hanging="0" w:left="720" w:right="-6"/>
              <w:contextualSpacing w:val="false"/>
              <w:jc w:val="both"/>
            </w:pPr>
            <w:r>
              <w:rPr/>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Fonts w:ascii="Times New Roman" w:cs="Times New Roman" w:eastAsia="Times New Roman" w:hAnsi="Times New Roman"/>
                <w:b/>
                <w:bCs/>
                <w:iCs/>
                <w:color w:val="000000"/>
                <w:sz w:val="24"/>
                <w:szCs w:val="24"/>
                <w:lang w:eastAsia="pt-BR"/>
              </w:rPr>
              <w:t>Considerações finais:</w:t>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 xml:space="preserve">O projeto </w:t>
            </w:r>
            <w:r>
              <w:rPr>
                <w:rFonts w:ascii="Times New Roman" w:cs="Times New Roman" w:eastAsia="Times New Roman" w:hAnsi="Times New Roman"/>
                <w:b/>
                <w:bCs/>
                <w:iCs/>
                <w:color w:val="000000"/>
                <w:sz w:val="24"/>
                <w:szCs w:val="24"/>
                <w:lang w:eastAsia="pt-BR"/>
              </w:rPr>
              <w:t xml:space="preserve">30 anos MPF Cidadão </w:t>
            </w:r>
            <w:r>
              <w:rPr>
                <w:rFonts w:ascii="Times New Roman" w:cs="Times New Roman" w:eastAsia="Times New Roman" w:hAnsi="Times New Roman"/>
                <w:bCs/>
                <w:iCs/>
                <w:color w:val="000000"/>
                <w:sz w:val="24"/>
                <w:szCs w:val="24"/>
                <w:lang w:eastAsia="pt-BR"/>
              </w:rPr>
              <w:t>será enviado para os Membros do Colegiado pela Assessoria-Chefe de Coordenação.  Dra. Maria Iraneide explicou o projeto aos demais. Falou sobre o Acordo com a Transparência Brasil que está pendente de assinatura na Secretaria-Geral. Pontuou que haverá continuidade no projeto SISCAN.</w:t>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Fonts w:ascii="Times New Roman" w:cs="Times New Roman" w:eastAsia="Times New Roman" w:hAnsi="Times New Roman"/>
                <w:bCs/>
                <w:iCs/>
                <w:color w:val="000000"/>
                <w:sz w:val="24"/>
                <w:szCs w:val="24"/>
                <w:lang w:eastAsia="pt-BR"/>
              </w:rPr>
              <w:t>A Assessora-Chefe de Coordenação apresentou o Plano de Ação, elaborado durante o encontro dos dias 29 e 30 de novembro. Indagou se o colegiado concorda com a prioridade elencada sobre os temas a serem trabalhados pela 1ª CCR. Foi decidido que a prioridade se encerrará no quarto item, “Bens Públicos”, na seguinte ordem: Terras Públicas, Patrimônio da Rede Ferroviária SA e Rodovias Federais.</w:t>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
          </w:p>
          <w:p>
            <w:pPr>
              <w:pStyle w:val="style0"/>
              <w:spacing w:after="0" w:before="28" w:line="100" w:lineRule="atLeast"/>
              <w:ind w:hanging="0" w:left="0" w:right="-6"/>
              <w:contextualSpacing w:val="false"/>
              <w:jc w:val="both"/>
            </w:pPr>
            <w:r>
              <w:rPr/>
            </w:r>
          </w:p>
        </w:tc>
      </w:tr>
      <w:tr>
        <w:trPr>
          <w:trHeight w:hRule="atLeast" w:val="15"/>
          <w:cantSplit w:val="false"/>
        </w:trPr>
        <w:tc>
          <w:tcPr>
            <w:tcW w:type="dxa" w:w="9210"/>
            <w:tcBorders>
              <w:left w:color="000001" w:space="0" w:sz="6" w:val="single"/>
              <w:bottom w:color="000001" w:space="0" w:sz="6" w:val="single"/>
              <w:right w:color="000001" w:space="0" w:sz="6" w:val="single"/>
            </w:tcBorders>
            <w:shd w:fill="FFFFFF" w:val="clear"/>
            <w:tcMar>
              <w:top w:type="dxa" w:w="0"/>
              <w:left w:type="dxa" w:w="108"/>
              <w:bottom w:type="dxa" w:w="0"/>
              <w:right w:type="dxa" w:w="108"/>
            </w:tcMar>
          </w:tcPr>
          <w:p>
            <w:pPr>
              <w:pStyle w:val="style0"/>
              <w:spacing w:after="0" w:before="28" w:line="100" w:lineRule="atLeast"/>
              <w:contextualSpacing w:val="false"/>
              <w:jc w:val="center"/>
            </w:pPr>
            <w:r>
              <w:rPr>
                <w:rFonts w:ascii="Times New Roman" w:cs="Times New Roman" w:eastAsia="Times New Roman" w:hAnsi="Times New Roman"/>
                <w:color w:val="000000"/>
                <w:sz w:val="24"/>
                <w:szCs w:val="24"/>
                <w:lang w:eastAsia="pt-BR"/>
              </w:rPr>
              <w:t>SAF Sul Quadra 04 Conjunto C Bloco B Sala 307</w:t>
            </w:r>
          </w:p>
          <w:p>
            <w:pPr>
              <w:sectPr>
                <w:type w:val="nextPage"/>
                <w:pgSz w:h="16838" w:w="11906"/>
                <w:pgMar w:bottom="1417" w:footer="0" w:gutter="0" w:header="0" w:left="1701" w:right="1701" w:top="1417"/>
                <w:pgNumType w:fmt="decimal"/>
                <w:formProt w:val="false"/>
                <w:textDirection w:val="lrTb"/>
                <w:docGrid w:charSpace="8192" w:linePitch="260" w:type="default"/>
              </w:sectPr>
              <w:pStyle w:val="style0"/>
              <w:spacing w:after="0" w:before="28" w:line="100" w:lineRule="atLeast"/>
              <w:contextualSpacing w:val="false"/>
              <w:jc w:val="center"/>
            </w:pPr>
            <w:r>
              <w:rPr>
                <w:rFonts w:ascii="Times New Roman" w:cs="Times New Roman" w:eastAsia="Times New Roman" w:hAnsi="Times New Roman"/>
                <w:color w:val="000000"/>
                <w:sz w:val="24"/>
                <w:szCs w:val="24"/>
                <w:lang w:eastAsia="pt-BR"/>
              </w:rPr>
              <w:t>CEP 70.050-900 – Brasília – DF</w:t>
            </w:r>
          </w:p>
          <w:p>
            <w:pPr>
              <w:pStyle w:val="style0"/>
              <w:spacing w:after="119" w:before="28" w:line="100" w:lineRule="atLeast"/>
              <w:ind w:hanging="0" w:left="0" w:right="-6"/>
              <w:contextualSpacing w:val="false"/>
              <w:jc w:val="center"/>
            </w:pPr>
            <w:r>
              <w:rPr>
                <w:rFonts w:ascii="Times New Roman" w:cs="Times New Roman" w:eastAsia="Times New Roman" w:hAnsi="Times New Roman"/>
                <w:color w:val="000000"/>
                <w:sz w:val="24"/>
                <w:szCs w:val="24"/>
                <w:lang w:eastAsia="pt-BR"/>
              </w:rPr>
              <w:t xml:space="preserve">Tel.: (61) 3105-6043 Fax.: (61) 3105-6049/ 6048/6947/6927– </w:t>
            </w:r>
            <w:hyperlink r:id="rId2">
              <w:r>
                <w:rPr>
                  <w:rStyle w:val="style17"/>
                  <w:rStyle w:val="style17"/>
                  <w:rFonts w:ascii="Times New Roman" w:cs="Times New Roman" w:hAnsi="Times New Roman"/>
                  <w:sz w:val="24"/>
                  <w:szCs w:val="24"/>
                </w:rPr>
                <w:t>1c</w:t>
              </w:r>
            </w:hyperlink>
            <w:r>
              <w:rPr>
                <w:rFonts w:ascii="Times New Roman" w:cs="Times New Roman" w:eastAsia="Times New Roman" w:hAnsi="Times New Roman"/>
                <w:color w:val="000000"/>
                <w:sz w:val="24"/>
                <w:szCs w:val="24"/>
                <w:u w:val="single"/>
                <w:lang w:eastAsia="pt-BR"/>
              </w:rPr>
              <w:t>c</w:t>
            </w:r>
            <w:hyperlink r:id="rId3">
              <w:r>
                <w:rPr>
                  <w:rStyle w:val="style17"/>
                  <w:rStyle w:val="style17"/>
                  <w:rFonts w:ascii="Times New Roman" w:cs="Times New Roman" w:hAnsi="Times New Roman"/>
                  <w:sz w:val="24"/>
                  <w:szCs w:val="24"/>
                </w:rPr>
                <w:t>r</w:t>
              </w:r>
            </w:hyperlink>
            <w:hyperlink r:id="rId4">
              <w:r>
                <w:rPr>
                  <w:rStyle w:val="style17"/>
                  <w:rStyle w:val="style17"/>
                  <w:rFonts w:ascii="Times New Roman" w:cs="Times New Roman" w:hAnsi="Times New Roman"/>
                  <w:sz w:val="24"/>
                  <w:szCs w:val="24"/>
                </w:rPr>
                <w:t>@mpf.</w:t>
              </w:r>
            </w:hyperlink>
            <w:hyperlink r:id="rId5">
              <w:r>
                <w:rPr>
                  <w:rStyle w:val="style17"/>
                  <w:rStyle w:val="style17"/>
                  <w:rFonts w:ascii="Times New Roman" w:cs="Times New Roman" w:hAnsi="Times New Roman"/>
                  <w:sz w:val="24"/>
                  <w:szCs w:val="24"/>
                </w:rPr>
                <w:t>mp</w:t>
              </w:r>
            </w:hyperlink>
            <w:hyperlink r:id="rId6">
              <w:r>
                <w:rPr>
                  <w:rStyle w:val="style17"/>
                  <w:rStyle w:val="style17"/>
                  <w:rFonts w:ascii="Times New Roman" w:cs="Times New Roman" w:hAnsi="Times New Roman"/>
                  <w:sz w:val="24"/>
                  <w:szCs w:val="24"/>
                </w:rPr>
                <w:t>.br</w:t>
              </w:r>
            </w:hyperlink>
          </w:p>
        </w:tc>
      </w:tr>
    </w:tbl>
    <w:p>
      <w:pPr>
        <w:pStyle w:val="style0"/>
        <w:widowControl/>
        <w:tabs/>
        <w:suppressAutoHyphens w:val="true"/>
        <w:spacing w:after="160" w:before="0" w:line="252" w:lineRule="auto"/>
        <w:contextualSpacing w:val="false"/>
        <w:textAlignment w:val="baseline"/>
      </w:pPr>
      <w:r>
        <w:rPr/>
      </w:r>
    </w:p>
    <w:sectPr>
      <w:type w:val="nextPage"/>
      <w:pgSz w:h="16838" w:w="11906"/>
      <w:pgMar w:bottom="1417" w:footer="0" w:gutter="0" w:header="0" w:left="1701" w:right="1701" w:top="1417"/>
      <w:pgNumType w:fmt="decimal"/>
      <w:formProt w:val="false"/>
      <w:textDirection w:val="lrTb"/>
      <w:docGrid w:charSpace="8192" w:linePitch="2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Courier New">
    <w:charset w:val="80"/>
    <w:family w:val="modern"/>
    <w:pitch w:val="fixed"/>
  </w:font>
  <w:font w:name="Wingdings">
    <w:charset w:val="02"/>
    <w:family w:val="auto"/>
    <w:pitch w:val="variable"/>
  </w:font>
</w:fonts>
</file>

<file path=word/numbering.xml><?xml version="1.0" encoding="utf-8"?>
<w:numbering xmlns:w="http://schemas.openxmlformats.org/wordprocessingml/2006/main">
  <w:abstractNum w:abstractNumId="1">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2">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3">
    <w:lvl w:ilvl="0">
      <w:start w:val="1"/>
      <w:numFmt w:val="bullet"/>
      <w:lvlText w:val=""/>
      <w:lvlJc w:val="left"/>
      <w:pPr>
        <w:ind w:hanging="360" w:left="720"/>
      </w:pPr>
      <w:rPr>
        <w:rFonts w:ascii="Symbol" w:cs="Symbol" w:hAnsi="Symbol" w:hint="default"/>
      </w:rPr>
    </w:lvl>
    <w:lvl w:ilvl="1">
      <w:start w:val="1"/>
      <w:numFmt w:val="bullet"/>
      <w:lvlText w:val="o"/>
      <w:lvlJc w:val="left"/>
      <w:pPr>
        <w:ind w:hanging="360" w:left="1440"/>
      </w:pPr>
      <w:rPr>
        <w:rFonts w:ascii="Courier New" w:cs="Courier New" w:hAnsi="Courier New" w:hint="default"/>
      </w:rPr>
    </w:lvl>
    <w:lvl w:ilvl="2">
      <w:start w:val="1"/>
      <w:numFmt w:val="bullet"/>
      <w:lvlText w:val=""/>
      <w:lvlJc w:val="left"/>
      <w:pPr>
        <w:ind w:hanging="360" w:left="2160"/>
      </w:pPr>
      <w:rPr>
        <w:rFonts w:ascii="Wingdings" w:cs="Wingdings" w:hAnsi="Wingdings" w:hint="default"/>
      </w:rPr>
    </w:lvl>
    <w:lvl w:ilvl="3">
      <w:start w:val="1"/>
      <w:numFmt w:val="bullet"/>
      <w:lvlText w:val=""/>
      <w:lvlJc w:val="left"/>
      <w:pPr>
        <w:ind w:hanging="360" w:left="2880"/>
      </w:pPr>
      <w:rPr>
        <w:rFonts w:ascii="Symbol" w:cs="Symbol" w:hAnsi="Symbol" w:hint="default"/>
      </w:rPr>
    </w:lvl>
    <w:lvl w:ilvl="4">
      <w:start w:val="1"/>
      <w:numFmt w:val="bullet"/>
      <w:lvlText w:val="o"/>
      <w:lvlJc w:val="left"/>
      <w:pPr>
        <w:ind w:hanging="360" w:left="3600"/>
      </w:pPr>
      <w:rPr>
        <w:rFonts w:ascii="Courier New" w:cs="Courier New" w:hAnsi="Courier New" w:hint="default"/>
      </w:rPr>
    </w:lvl>
    <w:lvl w:ilvl="5">
      <w:start w:val="1"/>
      <w:numFmt w:val="bullet"/>
      <w:lvlText w:val=""/>
      <w:lvlJc w:val="left"/>
      <w:pPr>
        <w:ind w:hanging="360" w:left="4320"/>
      </w:pPr>
      <w:rPr>
        <w:rFonts w:ascii="Wingdings" w:cs="Wingdings" w:hAnsi="Wingdings" w:hint="default"/>
      </w:rPr>
    </w:lvl>
    <w:lvl w:ilvl="6">
      <w:start w:val="1"/>
      <w:numFmt w:val="bullet"/>
      <w:lvlText w:val=""/>
      <w:lvlJc w:val="left"/>
      <w:pPr>
        <w:ind w:hanging="360" w:left="5040"/>
      </w:pPr>
      <w:rPr>
        <w:rFonts w:ascii="Symbol" w:cs="Symbol" w:hAnsi="Symbol" w:hint="default"/>
      </w:rPr>
    </w:lvl>
    <w:lvl w:ilvl="7">
      <w:start w:val="1"/>
      <w:numFmt w:val="bullet"/>
      <w:lvlText w:val="o"/>
      <w:lvlJc w:val="left"/>
      <w:pPr>
        <w:ind w:hanging="360" w:left="5760"/>
      </w:pPr>
      <w:rPr>
        <w:rFonts w:ascii="Courier New" w:cs="Courier New" w:hAnsi="Courier New" w:hint="default"/>
      </w:rPr>
    </w:lvl>
    <w:lvl w:ilvl="8">
      <w:start w:val="1"/>
      <w:numFmt w:val="bullet"/>
      <w:lvlText w:val=""/>
      <w:lvlJc w:val="left"/>
      <w:pPr>
        <w:ind w:hanging="360" w:left="6480"/>
      </w:pPr>
      <w:rPr>
        <w:rFonts w:ascii="Wingdings" w:cs="Wingdings" w:hAnsi="Wingdings" w:hint="default"/>
      </w:rPr>
    </w:lvl>
  </w:abstractNum>
  <w:abstractNum w:abstractNumId="4">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Padrão"/>
    <w:next w:val="style0"/>
    <w:pPr>
      <w:widowControl/>
      <w:tabs/>
      <w:suppressAutoHyphens w:val="true"/>
      <w:spacing w:after="160" w:before="0" w:line="252" w:lineRule="auto"/>
      <w:contextualSpacing w:val="false"/>
      <w:textAlignment w:val="baseline"/>
    </w:pPr>
    <w:rPr>
      <w:rFonts w:ascii="Calibri" w:cs="Calibri" w:eastAsia="SimSun" w:hAnsi="Calibri"/>
      <w:color w:val="00000A"/>
      <w:sz w:val="22"/>
      <w:szCs w:val="22"/>
      <w:lang w:bidi="ar-SA" w:eastAsia="en-US" w:val="pt-BR"/>
    </w:rPr>
  </w:style>
  <w:style w:styleId="style15" w:type="character">
    <w:name w:val="Default Paragraph Font"/>
    <w:next w:val="style15"/>
    <w:rPr/>
  </w:style>
  <w:style w:styleId="style16" w:type="character">
    <w:name w:val="Placeholder Text"/>
    <w:basedOn w:val="style15"/>
    <w:next w:val="style16"/>
    <w:rPr>
      <w:color w:val="808080"/>
    </w:rPr>
  </w:style>
  <w:style w:styleId="style17" w:type="character">
    <w:name w:val="Link da Internet"/>
    <w:basedOn w:val="style15"/>
    <w:next w:val="style17"/>
    <w:rPr>
      <w:color w:val="0563C1"/>
      <w:u w:val="single"/>
      <w:lang w:bidi="pt-BR" w:eastAsia="pt-BR" w:val="pt-BR"/>
    </w:rPr>
  </w:style>
  <w:style w:styleId="style18" w:type="character">
    <w:name w:val="Texto de nota de fim Char"/>
    <w:basedOn w:val="style15"/>
    <w:next w:val="style18"/>
    <w:rPr>
      <w:sz w:val="20"/>
      <w:szCs w:val="20"/>
    </w:rPr>
  </w:style>
  <w:style w:styleId="style19" w:type="character">
    <w:name w:val="endnote reference"/>
    <w:basedOn w:val="style15"/>
    <w:next w:val="style19"/>
    <w:rPr>
      <w:vertAlign w:val="superscript"/>
    </w:rPr>
  </w:style>
  <w:style w:styleId="style20" w:type="character">
    <w:name w:val="Texto de nota de rodapé Char"/>
    <w:basedOn w:val="style15"/>
    <w:next w:val="style20"/>
    <w:rPr>
      <w:sz w:val="20"/>
      <w:szCs w:val="20"/>
    </w:rPr>
  </w:style>
  <w:style w:styleId="style21" w:type="character">
    <w:name w:val="footnote reference"/>
    <w:basedOn w:val="style15"/>
    <w:next w:val="style21"/>
    <w:rPr>
      <w:vertAlign w:val="superscript"/>
    </w:rPr>
  </w:style>
  <w:style w:styleId="style22" w:type="character">
    <w:name w:val="Texto de balão Char"/>
    <w:basedOn w:val="style15"/>
    <w:next w:val="style22"/>
    <w:rPr>
      <w:rFonts w:ascii="Segoe UI" w:cs="Segoe UI" w:hAnsi="Segoe UI"/>
      <w:sz w:val="18"/>
      <w:szCs w:val="18"/>
    </w:rPr>
  </w:style>
  <w:style w:styleId="style23" w:type="character">
    <w:name w:val="ListLabel 1"/>
    <w:next w:val="style23"/>
    <w:rPr>
      <w:sz w:val="20"/>
    </w:rPr>
  </w:style>
  <w:style w:styleId="style24" w:type="character">
    <w:name w:val="ListLabel 2"/>
    <w:next w:val="style24"/>
    <w:rPr>
      <w:b/>
      <w:sz w:val="22"/>
    </w:rPr>
  </w:style>
  <w:style w:styleId="style25" w:type="character">
    <w:name w:val="Âncora de nota de rodapé"/>
    <w:next w:val="style25"/>
    <w:rPr>
      <w:vertAlign w:val="superscript"/>
    </w:rPr>
  </w:style>
  <w:style w:styleId="style26" w:type="character">
    <w:name w:val="ListLabel 3"/>
    <w:next w:val="style26"/>
    <w:rPr>
      <w:sz w:val="20"/>
    </w:rPr>
  </w:style>
  <w:style w:styleId="style27" w:type="character">
    <w:name w:val="ListLabel 4"/>
    <w:next w:val="style27"/>
    <w:rPr>
      <w:b/>
      <w:sz w:val="22"/>
    </w:rPr>
  </w:style>
  <w:style w:styleId="style28" w:type="character">
    <w:name w:val="ListLabel 5"/>
    <w:next w:val="style28"/>
    <w:rPr>
      <w:rFonts w:cs="Courier New"/>
    </w:rPr>
  </w:style>
  <w:style w:styleId="style29" w:type="character">
    <w:name w:val="ListLabel 6"/>
    <w:next w:val="style29"/>
    <w:rPr>
      <w:rFonts w:cs="Symbol"/>
    </w:rPr>
  </w:style>
  <w:style w:styleId="style30" w:type="character">
    <w:name w:val="ListLabel 7"/>
    <w:next w:val="style30"/>
    <w:rPr>
      <w:rFonts w:cs="Courier New"/>
    </w:rPr>
  </w:style>
  <w:style w:styleId="style31" w:type="character">
    <w:name w:val="ListLabel 8"/>
    <w:next w:val="style31"/>
    <w:rPr>
      <w:rFonts w:cs="Wingdings"/>
    </w:rPr>
  </w:style>
  <w:style w:styleId="style32" w:type="paragraph">
    <w:name w:val="Título"/>
    <w:basedOn w:val="style0"/>
    <w:next w:val="style33"/>
    <w:pPr>
      <w:keepNext/>
      <w:spacing w:after="120" w:before="240"/>
      <w:contextualSpacing w:val="false"/>
    </w:pPr>
    <w:rPr>
      <w:rFonts w:ascii="Arial" w:cs="Mangal" w:eastAsia="Microsoft YaHei" w:hAnsi="Arial"/>
      <w:sz w:val="28"/>
      <w:szCs w:val="28"/>
    </w:rPr>
  </w:style>
  <w:style w:styleId="style33" w:type="paragraph">
    <w:name w:val="Corpo de texto"/>
    <w:basedOn w:val="style0"/>
    <w:next w:val="style33"/>
    <w:pPr>
      <w:spacing w:after="120" w:before="0"/>
      <w:contextualSpacing w:val="false"/>
    </w:pPr>
    <w:rPr/>
  </w:style>
  <w:style w:styleId="style34" w:type="paragraph">
    <w:name w:val="Lista"/>
    <w:basedOn w:val="style33"/>
    <w:next w:val="style34"/>
    <w:pPr/>
    <w:rPr>
      <w:rFonts w:cs="Mangal"/>
      <w:sz w:val="24"/>
    </w:rPr>
  </w:style>
  <w:style w:styleId="style35" w:type="paragraph">
    <w:name w:val="Legenda"/>
    <w:basedOn w:val="style0"/>
    <w:next w:val="style35"/>
    <w:pPr>
      <w:suppressLineNumbers/>
      <w:spacing w:after="120" w:before="120"/>
      <w:contextualSpacing w:val="false"/>
    </w:pPr>
    <w:rPr>
      <w:rFonts w:cs="Mangal"/>
      <w:i/>
      <w:iCs/>
      <w:sz w:val="24"/>
      <w:szCs w:val="24"/>
    </w:rPr>
  </w:style>
  <w:style w:styleId="style36" w:type="paragraph">
    <w:name w:val="Índice"/>
    <w:basedOn w:val="style0"/>
    <w:next w:val="style36"/>
    <w:pPr>
      <w:suppressLineNumbers/>
    </w:pPr>
    <w:rPr>
      <w:rFonts w:cs="Mangal"/>
      <w:sz w:val="24"/>
    </w:rPr>
  </w:style>
  <w:style w:styleId="style37" w:type="paragraph">
    <w:name w:val="caption"/>
    <w:basedOn w:val="style0"/>
    <w:next w:val="style37"/>
    <w:pPr>
      <w:suppressLineNumbers/>
      <w:spacing w:after="120" w:before="120"/>
      <w:contextualSpacing w:val="false"/>
    </w:pPr>
    <w:rPr>
      <w:rFonts w:cs="Mangal"/>
      <w:i/>
      <w:iCs/>
      <w:sz w:val="24"/>
      <w:szCs w:val="24"/>
    </w:rPr>
  </w:style>
  <w:style w:styleId="style38" w:type="paragraph">
    <w:name w:val="List Paragraph"/>
    <w:basedOn w:val="style0"/>
    <w:next w:val="style38"/>
    <w:pPr>
      <w:ind w:hanging="0" w:left="720" w:right="0"/>
    </w:pPr>
    <w:rPr/>
  </w:style>
  <w:style w:styleId="style39" w:type="paragraph">
    <w:name w:val="endnote text"/>
    <w:basedOn w:val="style0"/>
    <w:next w:val="style39"/>
    <w:pPr>
      <w:spacing w:after="0" w:before="0" w:line="100" w:lineRule="atLeast"/>
      <w:contextualSpacing w:val="false"/>
    </w:pPr>
    <w:rPr>
      <w:sz w:val="20"/>
      <w:szCs w:val="20"/>
    </w:rPr>
  </w:style>
  <w:style w:styleId="style40" w:type="paragraph">
    <w:name w:val="footnote text"/>
    <w:basedOn w:val="style0"/>
    <w:next w:val="style40"/>
    <w:pPr>
      <w:spacing w:after="0" w:before="0" w:line="100" w:lineRule="atLeast"/>
      <w:contextualSpacing w:val="false"/>
    </w:pPr>
    <w:rPr>
      <w:sz w:val="20"/>
      <w:szCs w:val="20"/>
    </w:rPr>
  </w:style>
  <w:style w:styleId="style41" w:type="paragraph">
    <w:name w:val="western"/>
    <w:basedOn w:val="style0"/>
    <w:next w:val="style41"/>
    <w:pPr>
      <w:spacing w:after="119" w:before="28" w:line="100" w:lineRule="atLeast"/>
      <w:contextualSpacing w:val="false"/>
    </w:pPr>
    <w:rPr>
      <w:rFonts w:ascii="Times New Roman" w:cs="Times New Roman" w:eastAsia="Times New Roman" w:hAnsi="Times New Roman"/>
      <w:sz w:val="24"/>
      <w:szCs w:val="24"/>
      <w:lang w:eastAsia="pt-BR"/>
    </w:rPr>
  </w:style>
  <w:style w:styleId="style42" w:type="paragraph">
    <w:name w:val="Balloon Text"/>
    <w:basedOn w:val="style0"/>
    <w:next w:val="style42"/>
    <w:pPr>
      <w:spacing w:after="0" w:before="0" w:line="100" w:lineRule="atLeast"/>
      <w:contextualSpacing w:val="false"/>
    </w:pPr>
    <w:rPr>
      <w:rFonts w:ascii="Segoe UI" w:cs="Segoe UI" w:hAnsi="Segoe UI"/>
      <w:sz w:val="18"/>
      <w:szCs w:val="18"/>
    </w:rPr>
  </w:style>
  <w:style w:styleId="style43" w:type="paragraph">
    <w:name w:val="Nota de rodapé"/>
    <w:basedOn w:val="style0"/>
    <w:next w:val="style43"/>
    <w:pPr>
      <w:suppressLineNumbers/>
      <w:ind w:hanging="339" w:left="339" w:right="0"/>
    </w:pPr>
    <w:rPr>
      <w:sz w:val="20"/>
      <w:szCs w:val="20"/>
    </w:rPr>
  </w:style>
  <w:style w:styleId="style44" w:type="paragraph">
    <w:name w:val="Conteúdo da tabela"/>
    <w:basedOn w:val="style0"/>
    <w:next w:val="style44"/>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1camara@pgr.mpf.gov.br" TargetMode="External"/><Relationship Id="rId3" Type="http://schemas.openxmlformats.org/officeDocument/2006/relationships/hyperlink" Target="mailto:1camara@pgr.mpf.gov.br" TargetMode="External"/><Relationship Id="rId4" Type="http://schemas.openxmlformats.org/officeDocument/2006/relationships/hyperlink" Target="mailto:1camara@pgr.mpf.gov.br" TargetMode="External"/><Relationship Id="rId5" Type="http://schemas.openxmlformats.org/officeDocument/2006/relationships/hyperlink" Target="mailto:1camara@pgr.mpf.gov.br" TargetMode="External"/><Relationship Id="rId6" Type="http://schemas.openxmlformats.org/officeDocument/2006/relationships/hyperlink" Target="mailto:1camara@pgr.mpf.gov.br"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TotalTime>
  <Application>LibreOffice/3.6$Windows_x86 LibreOffice_project/e183d5b-f8ccaf6-3804794-95b4be8-895629</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2017-12-12T16:10:00.00Z</dcterms:created>
  <dc:creator>RobertaP</dc:creator>
  <cp:lastModifiedBy>RobertaP</cp:lastModifiedBy>
  <cp:lastPrinted>2017-12-12T15:54:00.00Z</cp:lastPrinted>
  <dcterms:modified xsi:type="dcterms:W3CDTF">2017-12-12T16:10:00.00Z</dcterms:modified>
  <cp:revision>2</cp:revision>
</cp:coreProperties>
</file>